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spacing w:before="240" w:after="80"/>
      </w:pPr>
      <w:r>
        <w:rPr>
          <w:rFonts w:ascii="Noto Sans CJK SC" w:hAnsi="Noto Sans CJK SC" w:eastAsia="Noto Sans CJK SC" w:hint="eastAsia"/>
          <w:b/>
          <w:color w:val="0B2545"/>
          <w:sz w:val="44"/>
        </w:rPr>
        <w:t>第 14 次课 Compose 标准化交付报告</w:t>
      </w:r>
    </w:p>
    <w:p>
      <w:pPr>
        <w:spacing w:after="280"/>
      </w:pPr>
      <w:r>
        <w:rPr>
          <w:rFonts w:ascii="Noto Sans CJK SC" w:hAnsi="Noto Sans CJK SC" w:eastAsia="Noto Sans CJK SC" w:hint="eastAsia"/>
          <w:color w:val="667085"/>
          <w:sz w:val="22"/>
        </w:rPr>
        <w:t>运行证据 · 故障闭环 · 职业规范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3120"/>
        <w:gridCol w:w="3120"/>
        <w:gridCol w:w="3120"/>
      </w:tblGrid>
      <w:tr>
        <w:trPr>
          <w:cantSplit/>
          <w:tblHeader w:val="true"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课程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课次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  <w:shd w:fill="E8EEF5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8"/>
              </w:rPr>
              <w:t>提交</w:t>
            </w:r>
          </w:p>
        </w:tc>
      </w:tr>
      <w:tr>
        <w:trPr>
          <w:cantSplit/>
        </w:trPr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云计算平台搭建与管理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第 14 次课</w:t>
            </w:r>
          </w:p>
        </w:tc>
        <w:tc>
          <w:tcPr>
            <w:tcW w:type="dxa" w:w="312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40" w:after="40" w:line="276" w:lineRule="auto"/>
              <w:jc w:val="center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20"/>
              </w:rPr>
              <w:t>智慧职教在线平台</w:t>
            </w:r>
          </w:p>
        </w:tc>
      </w:tr>
    </w:tbl>
    <w:p>
      <w:pPr>
        <w:spacing w:before="80" w:after="160"/>
        <w:ind w:left="259"/>
        <w:pBdr>
          <w:left w:val="single" w:sz="14" w:space="8" w:color="2E74B5"/>
        </w:pBdr>
      </w:pPr>
      <w:r>
        <w:rPr>
          <w:rFonts w:ascii="Noto Sans CJK SC" w:hAnsi="Noto Sans CJK SC" w:eastAsia="Noto Sans CJK SC" w:hint="eastAsia"/>
          <w:i/>
          <w:color w:val="667085"/>
          <w:sz w:val="20"/>
        </w:rPr>
        <w:t>报告以真实操作记录和截图为主，不提交 .env、密钥、完整地址、日志全集或其他项目数据。</w:t>
      </w:r>
    </w:p>
    <w:p>
      <w:pPr>
        <w:pStyle w:val="Heading1"/>
      </w:pPr>
      <w:r>
        <w:t>1. 基本信息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班级：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学号：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姓名：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实训环境（WSL/ECS）：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项目名：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课程端口：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完成时间：</w:t>
      </w:r>
    </w:p>
    <w:p>
      <w:pPr>
        <w:pStyle w:val="Heading1"/>
      </w:pPr>
      <w:r>
        <w:t>2. 发布包目录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文件或目录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职责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是否进入发布包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是否含敏感值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compose.yaml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.env.example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.env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deploy.sh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verify.sh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cleanup.sh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api/web/nginx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1：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缺失文件：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不应打包的文件：</w:t>
      </w:r>
    </w:p>
    <w:p>
      <w:pPr>
        <w:pStyle w:val="Heading1"/>
      </w:pPr>
      <w:r>
        <w:t>3. 配置展开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检查项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展开值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项目名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服务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api 依赖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healthcheck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host_ip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published port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2：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变量来源：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是否发现敏感值：</w:t>
      </w:r>
    </w:p>
    <w:p>
      <w:pPr>
        <w:pStyle w:val="Heading1"/>
      </w:pPr>
      <w:r>
        <w:t>4. 首次部署与健康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层次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证据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限制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Compose 配置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容器 running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容器 healthy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主页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API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3：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bash verify.sh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Heading1"/>
      </w:pPr>
      <w:r>
        <w:t>5. 第二次部署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对象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第一次 ID 前 12 位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第二次 ID 前 12 位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是否变化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解释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api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web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4：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项目名与端口是否变化：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第二次 verify：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重复部署通过不能证明：</w:t>
      </w:r>
    </w:p>
    <w:p>
      <w:pPr>
        <w:pStyle w:val="Heading1"/>
      </w:pPr>
      <w:r>
        <w:t>6. 缺少 .env 故障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故障前备份：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原始报错：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图 5：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为什么脚本应尽早失败：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恢复命令：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回归结果：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是否改变已有容器：</w:t>
      </w:r>
    </w:p>
    <w:p>
      <w:pPr>
        <w:pStyle w:val="Heading1"/>
      </w:pPr>
      <w:r>
        <w:t>7. 清理检查</w:t>
      </w:r>
    </w:p>
    <w:p>
      <w:pPr>
        <w:pStyle w:val="ListBullet"/>
        <w:numPr>
          <w:ilvl w:val="0"/>
          <w:numId w:val="10"/>
        </w:numPr>
      </w:pPr>
      <w:r>
        <w:rPr>
          <w:rFonts w:ascii="Consolas" w:hAnsi="Consolas" w:eastAsia="Noto Sans CJK SC" w:hint="eastAsia"/>
          <w:color w:val="1F4D78"/>
          <w:sz w:val="19"/>
        </w:rPr>
        <w:t>./cleanup.sh</w:t>
      </w:r>
      <w:r>
        <w:rPr>
          <w:rFonts w:ascii="Noto Sans CJK SC" w:hAnsi="Noto Sans CJK SC" w:eastAsia="Noto Sans CJK SC" w:hint="eastAsia"/>
          <w:color w:val="000000"/>
          <w:sz w:val="22"/>
        </w:rPr>
        <w:t>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项目容器数量：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18014 监听：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既有业务容器：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是否删除镜像或未知资源：否</w:t>
      </w:r>
    </w:p>
    <w:p>
      <w:pPr>
        <w:pStyle w:val="Heading1"/>
      </w:pPr>
      <w:r>
        <w:t>8. 复盘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为什么只读 compose.yaml 不能确认最终端口？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running、healthy 和用户路径可用分别证明什么？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第二次部署为什么要比较项目、容器和页面版本？</w:t>
      </w:r>
    </w:p>
    <w:p>
      <w:pPr>
        <w:pStyle w:val="ListNumber"/>
        <w:numPr>
          <w:ilvl w:val="0"/>
          <w:numId w:val="11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标准包中为什么保留 .env.example 而排除 .env？</w:t>
      </w:r>
    </w:p>
    <w:p>
      <w:pPr>
        <w:pStyle w:val="Heading1"/>
      </w:pPr>
      <w:r>
        <w:t>9. 提交检查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截图有编号、来源、环境、证明范围和限制：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不含 .env、地址、密钥和日志全集：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Word 可以重新打开：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已上传智慧职教“第14次课”：</w:t>
      </w:r>
    </w:p>
    <w:p>
      <w:pPr>
        <w:pStyle w:val="ListBullet"/>
        <w:numPr>
          <w:ilvl w:val="0"/>
          <w:numId w:val="10"/>
        </w:numPr>
      </w:pPr>
      <w:r>
        <w:rPr>
          <w:rFonts w:ascii="Noto Sans CJK SC" w:hAnsi="Noto Sans CJK SC" w:eastAsia="Noto Sans CJK SC" w:hint="eastAsia"/>
          <w:color w:val="000000"/>
          <w:sz w:val="22"/>
        </w:rPr>
        <w:t>平台显示提交成功：</w:t>
      </w:r>
    </w:p>
    <w:p>
      <w:pPr>
        <w:pStyle w:val="Heading1"/>
      </w:pPr>
      <w:r>
        <w:t>10. 证据索引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72"/>
        <w:gridCol w:w="1872"/>
        <w:gridCol w:w="1872"/>
        <w:gridCol w:w="1872"/>
        <w:gridCol w:w="1872"/>
      </w:tblGrid>
      <w:tr>
        <w:trPr>
          <w:cantSplit/>
          <w:tblHeader w:val="true"/>
        </w:trPr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编号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来源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环境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已经证明</w:t>
            </w:r>
          </w:p>
        </w:tc>
        <w:tc>
          <w:tcPr>
            <w:tcW w:type="dxa" w:w="1872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不能证明</w:t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1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2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3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4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图 5</w:t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1872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</w:tbl>
    <w:p>
      <w:pPr>
        <w:pStyle w:val="Heading1"/>
      </w:pPr>
      <w:r>
        <w:t>11. 教师复核</w:t>
      </w:r>
    </w:p>
    <w:tbl>
      <w:tblPr>
        <w:tblW w:type="dxa" w:w="9360"/>
        <w:jc w:val="left"/>
        <w:tblLayout w:type="fixed"/>
        <w:tblLook w:firstColumn="1" w:firstRow="1" w:lastColumn="0" w:lastRow="0" w:noHBand="0" w:noVBand="1" w:val="04A0"/>
        <w:tblInd w:w="120" w:type="dxa"/>
      </w:tblPr>
      <w:tblGrid>
        <w:gridCol w:w="1800"/>
        <w:gridCol w:w="3000"/>
        <w:gridCol w:w="1800"/>
        <w:gridCol w:w="2760"/>
      </w:tblGrid>
      <w:tr>
        <w:trPr>
          <w:cantSplit/>
          <w:tblHeader w:val="true"/>
        </w:trPr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维度</w:t>
            </w:r>
          </w:p>
        </w:tc>
        <w:tc>
          <w:tcPr>
            <w:tcW w:type="dxa" w:w="30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达标证据</w:t>
            </w:r>
          </w:p>
        </w:tc>
        <w:tc>
          <w:tcPr>
            <w:tcW w:type="dxa" w:w="180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结果</w:t>
            </w:r>
          </w:p>
        </w:tc>
        <w:tc>
          <w:tcPr>
            <w:tcW w:type="dxa" w:w="2760"/>
            <w:shd w:fill="E8EEF5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/>
                <w:color w:val="0B2545"/>
                <w:sz w:val="19"/>
              </w:rPr>
              <w:t>批注</w:t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目录标准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文件完整，职责与打包边界清楚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配置展开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变量、依赖、健康和端口判断正确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重复部署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前后证据和同路验收完整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故障恢复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保留原值、尽早失败、恢复与回归完整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安全清理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只清理本项目，既有业务未受影响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</w:tr>
      <w:tr>
        <w:trPr>
          <w:cantSplit/>
        </w:trPr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综合结论</w:t>
            </w:r>
          </w:p>
        </w:tc>
        <w:tc>
          <w:tcPr>
            <w:tcW w:type="dxa" w:w="30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证据完整，可批准作为课程发布包</w:t>
            </w:r>
          </w:p>
        </w:tc>
        <w:tc>
          <w:tcPr>
            <w:tcW w:type="dxa" w:w="180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</w:r>
          </w:p>
        </w:tc>
        <w:tc>
          <w:tcPr>
            <w:tcW w:type="dxa" w:w="2760"/>
            <w:tcMar>
              <w:top w:w="100" w:type="dxa"/>
              <w:bottom w:w="100" w:type="dxa"/>
              <w:start w:w="120" w:type="dxa"/>
              <w:end w:w="120" w:type="dxa"/>
            </w:tcMar>
            <w:vAlign w:val="center"/>
          </w:tcPr>
          <w:p>
            <w:pPr>
              <w:spacing w:before="0" w:after="60" w:line="276" w:lineRule="auto"/>
            </w:pPr>
            <w:r>
              <w:rPr>
                <w:rFonts w:ascii="Noto Sans CJK SC" w:hAnsi="Noto Sans CJK SC" w:eastAsia="Noto Sans CJK SC" w:hint="eastAsia"/>
                <w:b w:val="0"/>
                <w:color w:val="000000"/>
                <w:sz w:val="19"/>
              </w:rPr>
              <w:t>复核人/日期：</w:t>
            </w:r>
          </w:p>
        </w:tc>
      </w:tr>
    </w:tbl>
    <w:sectPr w:rsidR="00FC693F" w:rsidRPr="0006063C" w:rsidSect="00034616">
      <w:headerReference w:type="default" r:id="rId9"/>
      <w:footerReference w:type="default" r:id="rId10"/>
      <w:pgSz w:w="12240" w:h="15840"/>
      <w:pgMar w:top="1181" w:right="1440" w:bottom="1123" w:left="1440" w:header="605" w:footer="605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spacing w:before="0"/>
      <w:jc w:val="right"/>
    </w:pPr>
    <w:r>
      <w:rPr>
        <w:rFonts w:ascii="Noto Sans CJK SC" w:hAnsi="Noto Sans CJK SC" w:eastAsia="Noto Sans CJK SC" w:hint="eastAsia"/>
        <w:color w:val="667085"/>
        <w:sz w:val="18"/>
      </w:rPr>
      <w:t xml:space="preserve">第 </w:t>
    </w:r>
    <w:fldSimple w:instr="PAGE"/>
    <w:r>
      <w:rPr>
        <w:rFonts w:ascii="Noto Sans CJK SC" w:hAnsi="Noto Sans CJK SC" w:eastAsia="Noto Sans CJK SC" w:hint="eastAsia"/>
        <w:color w:val="667085"/>
        <w:sz w:val="18"/>
      </w:rPr>
      <w:t xml:space="preserve"> 页</w:t>
    </w:r>
  </w:p>
</w:ftr>
</file>

<file path=word/header1.xml><?xml version="1.0" encoding="utf-8"?>
<w:hd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Header"/>
      <w:spacing w:after="0"/>
      <w:jc w:val="left"/>
      <w:pBdr>
        <w:bottom w:val="single" w:sz="4" w:space="4" w:color="D0D5DD"/>
      </w:pBdr>
    </w:pPr>
    <w:r>
      <w:rPr>
        <w:rFonts w:ascii="Noto Sans CJK SC" w:hAnsi="Noto Sans CJK SC" w:eastAsia="Noto Sans CJK SC" w:hint="eastAsia"/>
        <w:b/>
        <w:color w:val="667085"/>
        <w:sz w:val="18"/>
      </w:rPr>
      <w:t>云计算平台搭建与管理  ·  第 14 次课实训报告</w:t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abstractNum w:abstractNumId="9">
    <w:multiLevelType w:val="singleLevel"/>
    <w:lvl w:ilvl="0">
      <w:start w:val="1"/>
      <w:numFmt w:val="bullet"/>
      <w:lvlText w:val="•"/>
      <w:suff w:val="tab"/>
      <w:pPr>
        <w:tabs>
          <w:tab w:val="num" w:pos="540"/>
        </w:tabs>
        <w:ind w:left="540" w:hanging="270"/>
      </w:pPr>
    </w:lvl>
  </w:abstractNum>
  <w:num w:numId="10">
    <w:abstractNumId w:val="9"/>
  </w:num>
  <w:abstractNum w:abstractNumId="10">
    <w:multiLevelType w:val="singleLevel"/>
    <w:lvl w:ilvl="0">
      <w:start w:val="1"/>
      <w:numFmt w:val="decimal"/>
      <w:lvlText w:val="%1."/>
      <w:suff w:val="tab"/>
      <w:pPr>
        <w:tabs>
          <w:tab w:val="num" w:pos="540"/>
        </w:tabs>
        <w:ind w:left="540" w:hanging="270"/>
      </w:pPr>
    </w:lvl>
  </w:abstractNum>
  <w:num w:numId="1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zh-CN" w:eastAsia="zh-CN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  <w:pPr>
      <w:spacing w:before="0" w:after="120" w:line="300" w:lineRule="auto"/>
    </w:pPr>
    <w:rPr>
      <w:rFonts w:ascii="Noto Sans CJK SC" w:hAnsi="Noto Sans CJK SC" w:eastAsia="Noto Sans CJK SC"/>
      <w:sz w:val="22"/>
    </w:rPr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360" w:after="200"/>
      <w:outlineLvl w:val="0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80" w:after="140"/>
      <w:outlineLvl w:val="1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2E74B5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100"/>
      <w:outlineLvl w:val="2"/>
    </w:pPr>
    <w:rPr>
      <w:rFonts w:asciiTheme="majorHAnsi" w:eastAsiaTheme="majorEastAsia" w:hAnsiTheme="majorHAnsi" w:cstheme="majorBidi" w:ascii="Noto Sans CJK SC" w:hAnsi="Noto Sans CJK SC" w:eastAsia="Noto Sans CJK SC"/>
      <w:b/>
      <w:bCs/>
      <w:color w:val="1F4D78"/>
      <w:sz w:val="24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spacing w:after="80" w:line="300" w:lineRule="auto"/>
      <w:contextualSpacing/>
    </w:pPr>
    <w:rPr>
      <w:rFonts w:ascii="Noto Sans CJK SC" w:hAnsi="Noto Sans CJK SC" w:eastAsia="Noto Sans CJK SC"/>
      <w:sz w:val="22"/>
    </w:r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eader" Target="header1.xml"/><Relationship Id="rId10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第 14 次课 Compose 标准化交付报告</dc:title>
  <dc:subject>云计算平台搭建与管理实训报告模板</dc:subject>
  <dc:creator>课程组</dc:creator>
  <cp:keywords>云计算, 实训报告, 运行证据, 故障排查</cp:keywords>
  <dc:description>由课程可信源生成，不含学生信息或凭据。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